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284" w:firstLine="0"/>
        <w:jc w:val="center"/>
        <w:rPr>
          <w:rFonts w:ascii="Times New Roman" w:hAnsi="Times New Roman" w:cs="Times New Roman" w:eastAsia="Times New Roman"/>
          <w:b/>
          <w:color w:val="auto"/>
          <w:spacing w:val="0"/>
          <w:position w:val="0"/>
          <w:sz w:val="32"/>
          <w:shd w:fill="auto" w:val="clear"/>
        </w:rPr>
      </w:pPr>
      <w:r>
        <w:object w:dxaOrig="3614" w:dyaOrig="1728">
          <v:rect xmlns:o="urn:schemas-microsoft-com:office:office" xmlns:v="urn:schemas-microsoft-com:vml" id="rectole0000000000" style="width:180.700000pt;height:86.4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object w:dxaOrig="4278" w:dyaOrig="1656">
          <v:rect xmlns:o="urn:schemas-microsoft-com:office:office" xmlns:v="urn:schemas-microsoft-com:vml" id="rectole0000000001" style="width:213.900000pt;height:82.8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200" w:line="276"/>
        <w:ind w:right="0" w:left="0" w:firstLine="0"/>
        <w:jc w:val="center"/>
        <w:rPr>
          <w:rFonts w:ascii="Georgia" w:hAnsi="Georgia" w:cs="Georgia" w:eastAsia="Georgia"/>
          <w:b/>
          <w:color w:val="auto"/>
          <w:spacing w:val="0"/>
          <w:position w:val="0"/>
          <w:sz w:val="24"/>
          <w:shd w:fill="auto" w:val="clear"/>
        </w:rPr>
      </w:pPr>
      <w:r>
        <w:rPr>
          <w:rFonts w:ascii="Georgia" w:hAnsi="Georgia" w:cs="Georgia" w:eastAsia="Georgia"/>
          <w:b/>
          <w:color w:val="auto"/>
          <w:spacing w:val="0"/>
          <w:position w:val="0"/>
          <w:sz w:val="24"/>
          <w:shd w:fill="auto" w:val="clear"/>
        </w:rPr>
        <w:t xml:space="preserve">Ricorso per l’annullamento di avviso di accertamento catastale emesso dall’Agenzia delle Entrate</w:t>
      </w:r>
    </w:p>
    <w:p>
      <w:pPr>
        <w:spacing w:before="0" w:after="200" w:line="276"/>
        <w:ind w:right="0" w:left="0" w:firstLine="0"/>
        <w:jc w:val="both"/>
        <w:rPr>
          <w:rFonts w:ascii="Georgia" w:hAnsi="Georgia" w:cs="Georgia" w:eastAsia="Georgia"/>
          <w:color w:val="auto"/>
          <w:spacing w:val="0"/>
          <w:position w:val="0"/>
          <w:sz w:val="24"/>
          <w:shd w:fill="auto" w:val="clear"/>
        </w:rPr>
      </w:pPr>
      <w:r>
        <w:rPr>
          <w:rFonts w:ascii="Georgia" w:hAnsi="Georgia" w:cs="Georgia" w:eastAsia="Georgia"/>
          <w:color w:val="auto"/>
          <w:spacing w:val="0"/>
          <w:position w:val="0"/>
          <w:sz w:val="24"/>
          <w:shd w:fill="auto" w:val="clear"/>
        </w:rPr>
        <w:tab/>
        <w:t xml:space="preserve">L’Associazione Sempre Diritti da anni si impegna per supportare tutti coloro vedano ledere i propri diritti individuali e sociali. Non poteva mancare anche in questa occasione, in cui il diritto dei cittadini viene ad essere leso da un tipo di atto, quello accertativo tributario, che da vicino tocca quasi tutti i cittadini. L’Agenzia delle Entrate ha eseguito e sta ancora eseguendo moltissime revisioni catastali di immobili siti nel territorio del Comune di Roma. Tali accertamenti porteranno un aggravio nelle tasche dei contribuenti di parecchie centinaia di euro. Per questo, l’Associazione Sempre Diritti insieme con l’Avv. Michele Bonetti sta predisponendo un ricorso contro le ingiustizie dei nuovi classamenti catastali, inerenti la riqualificazione della classe degli immobili di proprietà in funzione di una ipotetica sproporzionalità tra il valore di mercato medio e il valore medio catastale. Le unità immobiliari interessate dalla riqualificazione del classamento saranno tutte quelle situate all’interno di determinate microzone del territorio comunale, come anche indicato nell’atto di accertamento, e cioè le seguenti: </w:t>
      </w:r>
    </w:p>
    <w:p>
      <w:pPr>
        <w:spacing w:before="0" w:after="200" w:line="276"/>
        <w:ind w:right="0" w:left="0" w:firstLine="0"/>
        <w:jc w:val="both"/>
        <w:rPr>
          <w:rFonts w:ascii="Georgia" w:hAnsi="Georgia" w:cs="Georgia" w:eastAsia="Georgia"/>
          <w:color w:val="auto"/>
          <w:spacing w:val="0"/>
          <w:position w:val="0"/>
          <w:sz w:val="24"/>
          <w:shd w:fill="auto" w:val="clear"/>
        </w:rPr>
      </w:pPr>
      <w:r>
        <w:rPr>
          <w:rFonts w:ascii="Georgia" w:hAnsi="Georgia" w:cs="Georgia" w:eastAsia="Georgia"/>
          <w:color w:val="auto"/>
          <w:spacing w:val="0"/>
          <w:position w:val="0"/>
          <w:sz w:val="24"/>
          <w:shd w:fill="auto" w:val="clear"/>
        </w:rPr>
        <w:tab/>
        <w:t xml:space="preserve">1.</w:t>
        <w:tab/>
        <w:t xml:space="preserve">Centro storico;</w:t>
      </w:r>
    </w:p>
    <w:p>
      <w:pPr>
        <w:spacing w:before="0" w:after="200" w:line="276"/>
        <w:ind w:right="0" w:left="0" w:firstLine="720"/>
        <w:jc w:val="both"/>
        <w:rPr>
          <w:rFonts w:ascii="Georgia" w:hAnsi="Georgia" w:cs="Georgia" w:eastAsia="Georgia"/>
          <w:color w:val="auto"/>
          <w:spacing w:val="0"/>
          <w:position w:val="0"/>
          <w:sz w:val="24"/>
          <w:shd w:fill="auto" w:val="clear"/>
        </w:rPr>
      </w:pPr>
      <w:r>
        <w:rPr>
          <w:rFonts w:ascii="Georgia" w:hAnsi="Georgia" w:cs="Georgia" w:eastAsia="Georgia"/>
          <w:color w:val="auto"/>
          <w:spacing w:val="0"/>
          <w:position w:val="0"/>
          <w:sz w:val="24"/>
          <w:shd w:fill="auto" w:val="clear"/>
        </w:rPr>
        <w:t xml:space="preserve">2.</w:t>
        <w:tab/>
        <w:t xml:space="preserve">Aventino;</w:t>
      </w:r>
    </w:p>
    <w:p>
      <w:pPr>
        <w:spacing w:before="0" w:after="200" w:line="276"/>
        <w:ind w:right="0" w:left="720" w:firstLine="0"/>
        <w:jc w:val="both"/>
        <w:rPr>
          <w:rFonts w:ascii="Georgia" w:hAnsi="Georgia" w:cs="Georgia" w:eastAsia="Georgia"/>
          <w:color w:val="auto"/>
          <w:spacing w:val="0"/>
          <w:position w:val="0"/>
          <w:sz w:val="24"/>
          <w:shd w:fill="auto" w:val="clear"/>
        </w:rPr>
      </w:pPr>
      <w:r>
        <w:rPr>
          <w:rFonts w:ascii="Georgia" w:hAnsi="Georgia" w:cs="Georgia" w:eastAsia="Georgia"/>
          <w:color w:val="auto"/>
          <w:spacing w:val="0"/>
          <w:position w:val="0"/>
          <w:sz w:val="24"/>
          <w:shd w:fill="auto" w:val="clear"/>
        </w:rPr>
        <w:t xml:space="preserve">3.</w:t>
        <w:tab/>
        <w:t xml:space="preserve">Trastevere;</w:t>
      </w:r>
    </w:p>
    <w:p>
      <w:pPr>
        <w:spacing w:before="0" w:after="200" w:line="276"/>
        <w:ind w:right="0" w:left="0" w:firstLine="720"/>
        <w:jc w:val="both"/>
        <w:rPr>
          <w:rFonts w:ascii="Georgia" w:hAnsi="Georgia" w:cs="Georgia" w:eastAsia="Georgia"/>
          <w:color w:val="auto"/>
          <w:spacing w:val="0"/>
          <w:position w:val="0"/>
          <w:sz w:val="24"/>
          <w:shd w:fill="auto" w:val="clear"/>
        </w:rPr>
      </w:pPr>
      <w:r>
        <w:rPr>
          <w:rFonts w:ascii="Georgia" w:hAnsi="Georgia" w:cs="Georgia" w:eastAsia="Georgia"/>
          <w:color w:val="auto"/>
          <w:spacing w:val="0"/>
          <w:position w:val="0"/>
          <w:sz w:val="24"/>
          <w:shd w:fill="auto" w:val="clear"/>
        </w:rPr>
        <w:t xml:space="preserve">4.</w:t>
        <w:tab/>
        <w:t xml:space="preserve">Borgo;</w:t>
      </w:r>
    </w:p>
    <w:p>
      <w:pPr>
        <w:spacing w:before="0" w:after="200" w:line="276"/>
        <w:ind w:right="0" w:left="0" w:firstLine="720"/>
        <w:jc w:val="both"/>
        <w:rPr>
          <w:rFonts w:ascii="Georgia" w:hAnsi="Georgia" w:cs="Georgia" w:eastAsia="Georgia"/>
          <w:color w:val="auto"/>
          <w:spacing w:val="0"/>
          <w:position w:val="0"/>
          <w:sz w:val="24"/>
          <w:shd w:fill="auto" w:val="clear"/>
        </w:rPr>
      </w:pPr>
      <w:r>
        <w:rPr>
          <w:rFonts w:ascii="Georgia" w:hAnsi="Georgia" w:cs="Georgia" w:eastAsia="Georgia"/>
          <w:color w:val="auto"/>
          <w:spacing w:val="0"/>
          <w:position w:val="0"/>
          <w:sz w:val="24"/>
          <w:shd w:fill="auto" w:val="clear"/>
        </w:rPr>
        <w:t xml:space="preserve">5.</w:t>
        <w:tab/>
        <w:t xml:space="preserve">Prati;</w:t>
      </w:r>
    </w:p>
    <w:p>
      <w:pPr>
        <w:spacing w:before="0" w:after="200" w:line="276"/>
        <w:ind w:right="0" w:left="0" w:firstLine="720"/>
        <w:jc w:val="both"/>
        <w:rPr>
          <w:rFonts w:ascii="Georgia" w:hAnsi="Georgia" w:cs="Georgia" w:eastAsia="Georgia"/>
          <w:color w:val="auto"/>
          <w:spacing w:val="0"/>
          <w:position w:val="0"/>
          <w:sz w:val="24"/>
          <w:shd w:fill="auto" w:val="clear"/>
        </w:rPr>
      </w:pPr>
      <w:r>
        <w:rPr>
          <w:rFonts w:ascii="Georgia" w:hAnsi="Georgia" w:cs="Georgia" w:eastAsia="Georgia"/>
          <w:color w:val="auto"/>
          <w:spacing w:val="0"/>
          <w:position w:val="0"/>
          <w:sz w:val="24"/>
          <w:shd w:fill="auto" w:val="clear"/>
        </w:rPr>
        <w:t xml:space="preserve">6.</w:t>
        <w:tab/>
        <w:t xml:space="preserve">Flaminio I;</w:t>
      </w:r>
    </w:p>
    <w:p>
      <w:pPr>
        <w:spacing w:before="0" w:after="200" w:line="276"/>
        <w:ind w:right="0" w:left="0" w:firstLine="720"/>
        <w:jc w:val="both"/>
        <w:rPr>
          <w:rFonts w:ascii="Georgia" w:hAnsi="Georgia" w:cs="Georgia" w:eastAsia="Georgia"/>
          <w:color w:val="auto"/>
          <w:spacing w:val="0"/>
          <w:position w:val="0"/>
          <w:sz w:val="24"/>
          <w:shd w:fill="auto" w:val="clear"/>
        </w:rPr>
      </w:pPr>
      <w:r>
        <w:rPr>
          <w:rFonts w:ascii="Georgia" w:hAnsi="Georgia" w:cs="Georgia" w:eastAsia="Georgia"/>
          <w:color w:val="auto"/>
          <w:spacing w:val="0"/>
          <w:position w:val="0"/>
          <w:sz w:val="24"/>
          <w:shd w:fill="auto" w:val="clear"/>
        </w:rPr>
        <w:t xml:space="preserve">7.</w:t>
        <w:tab/>
        <w:t xml:space="preserve">XX Settembre;</w:t>
      </w:r>
    </w:p>
    <w:p>
      <w:pPr>
        <w:spacing w:before="0" w:after="200" w:line="276"/>
        <w:ind w:right="0" w:left="0" w:firstLine="720"/>
        <w:jc w:val="both"/>
        <w:rPr>
          <w:rFonts w:ascii="Georgia" w:hAnsi="Georgia" w:cs="Georgia" w:eastAsia="Georgia"/>
          <w:color w:val="auto"/>
          <w:spacing w:val="0"/>
          <w:position w:val="0"/>
          <w:sz w:val="24"/>
          <w:shd w:fill="auto" w:val="clear"/>
        </w:rPr>
      </w:pPr>
      <w:r>
        <w:rPr>
          <w:rFonts w:ascii="Georgia" w:hAnsi="Georgia" w:cs="Georgia" w:eastAsia="Georgia"/>
          <w:color w:val="auto"/>
          <w:spacing w:val="0"/>
          <w:position w:val="0"/>
          <w:sz w:val="24"/>
          <w:shd w:fill="auto" w:val="clear"/>
        </w:rPr>
        <w:t xml:space="preserve">8.</w:t>
        <w:tab/>
        <w:t xml:space="preserve">Monti;</w:t>
      </w:r>
    </w:p>
    <w:p>
      <w:pPr>
        <w:spacing w:before="0" w:after="200" w:line="276"/>
        <w:ind w:right="0" w:left="0" w:firstLine="720"/>
        <w:jc w:val="both"/>
        <w:rPr>
          <w:rFonts w:ascii="Georgia" w:hAnsi="Georgia" w:cs="Georgia" w:eastAsia="Georgia"/>
          <w:color w:val="auto"/>
          <w:spacing w:val="0"/>
          <w:position w:val="0"/>
          <w:sz w:val="24"/>
          <w:shd w:fill="auto" w:val="clear"/>
        </w:rPr>
      </w:pPr>
      <w:r>
        <w:rPr>
          <w:rFonts w:ascii="Georgia" w:hAnsi="Georgia" w:cs="Georgia" w:eastAsia="Georgia"/>
          <w:color w:val="auto"/>
          <w:spacing w:val="0"/>
          <w:position w:val="0"/>
          <w:sz w:val="24"/>
          <w:shd w:fill="auto" w:val="clear"/>
        </w:rPr>
        <w:t xml:space="preserve">10.</w:t>
        <w:tab/>
        <w:t xml:space="preserve">San Saba;</w:t>
      </w:r>
    </w:p>
    <w:p>
      <w:pPr>
        <w:spacing w:before="0" w:after="200" w:line="276"/>
        <w:ind w:right="0" w:left="0" w:firstLine="720"/>
        <w:jc w:val="both"/>
        <w:rPr>
          <w:rFonts w:ascii="Georgia" w:hAnsi="Georgia" w:cs="Georgia" w:eastAsia="Georgia"/>
          <w:color w:val="auto"/>
          <w:spacing w:val="0"/>
          <w:position w:val="0"/>
          <w:sz w:val="24"/>
          <w:shd w:fill="auto" w:val="clear"/>
        </w:rPr>
      </w:pPr>
      <w:r>
        <w:rPr>
          <w:rFonts w:ascii="Georgia" w:hAnsi="Georgia" w:cs="Georgia" w:eastAsia="Georgia"/>
          <w:color w:val="auto"/>
          <w:spacing w:val="0"/>
          <w:position w:val="0"/>
          <w:sz w:val="24"/>
          <w:shd w:fill="auto" w:val="clear"/>
        </w:rPr>
        <w:t xml:space="preserve">11.</w:t>
        <w:tab/>
        <w:t xml:space="preserve">Testaccio;</w:t>
      </w:r>
    </w:p>
    <w:p>
      <w:pPr>
        <w:spacing w:before="0" w:after="200" w:line="276"/>
        <w:ind w:right="0" w:left="0" w:firstLine="720"/>
        <w:jc w:val="both"/>
        <w:rPr>
          <w:rFonts w:ascii="Georgia" w:hAnsi="Georgia" w:cs="Georgia" w:eastAsia="Georgia"/>
          <w:color w:val="auto"/>
          <w:spacing w:val="0"/>
          <w:position w:val="0"/>
          <w:sz w:val="24"/>
          <w:shd w:fill="auto" w:val="clear"/>
        </w:rPr>
      </w:pPr>
      <w:r>
        <w:rPr>
          <w:rFonts w:ascii="Georgia" w:hAnsi="Georgia" w:cs="Georgia" w:eastAsia="Georgia"/>
          <w:color w:val="auto"/>
          <w:spacing w:val="0"/>
          <w:position w:val="0"/>
          <w:sz w:val="24"/>
          <w:shd w:fill="auto" w:val="clear"/>
        </w:rPr>
        <w:t xml:space="preserve">14.</w:t>
        <w:tab/>
        <w:t xml:space="preserve">Gianicolo;</w:t>
      </w:r>
    </w:p>
    <w:p>
      <w:pPr>
        <w:spacing w:before="0" w:after="200" w:line="276"/>
        <w:ind w:right="0" w:left="0" w:firstLine="720"/>
        <w:jc w:val="both"/>
        <w:rPr>
          <w:rFonts w:ascii="Georgia" w:hAnsi="Georgia" w:cs="Georgia" w:eastAsia="Georgia"/>
          <w:color w:val="auto"/>
          <w:spacing w:val="0"/>
          <w:position w:val="0"/>
          <w:sz w:val="24"/>
          <w:shd w:fill="auto" w:val="clear"/>
        </w:rPr>
      </w:pPr>
      <w:r>
        <w:rPr>
          <w:rFonts w:ascii="Georgia" w:hAnsi="Georgia" w:cs="Georgia" w:eastAsia="Georgia"/>
          <w:color w:val="auto"/>
          <w:spacing w:val="0"/>
          <w:position w:val="0"/>
          <w:sz w:val="24"/>
          <w:shd w:fill="auto" w:val="clear"/>
        </w:rPr>
        <w:t xml:space="preserve">17.</w:t>
        <w:tab/>
        <w:t xml:space="preserve">Delle Vittorie – Trionfale;</w:t>
      </w:r>
    </w:p>
    <w:p>
      <w:pPr>
        <w:spacing w:before="0" w:after="200" w:line="276"/>
        <w:ind w:right="0" w:left="0" w:firstLine="720"/>
        <w:jc w:val="both"/>
        <w:rPr>
          <w:rFonts w:ascii="Georgia" w:hAnsi="Georgia" w:cs="Georgia" w:eastAsia="Georgia"/>
          <w:color w:val="auto"/>
          <w:spacing w:val="0"/>
          <w:position w:val="0"/>
          <w:sz w:val="24"/>
          <w:shd w:fill="auto" w:val="clear"/>
        </w:rPr>
      </w:pPr>
      <w:r>
        <w:rPr>
          <w:rFonts w:ascii="Georgia" w:hAnsi="Georgia" w:cs="Georgia" w:eastAsia="Georgia"/>
          <w:color w:val="auto"/>
          <w:spacing w:val="0"/>
          <w:position w:val="0"/>
          <w:sz w:val="24"/>
          <w:shd w:fill="auto" w:val="clear"/>
        </w:rPr>
        <w:t xml:space="preserve">18.</w:t>
        <w:tab/>
        <w:t xml:space="preserve">Flaminio II;</w:t>
      </w:r>
    </w:p>
    <w:p>
      <w:pPr>
        <w:spacing w:before="0" w:after="200" w:line="276"/>
        <w:ind w:right="0" w:left="0" w:firstLine="720"/>
        <w:jc w:val="both"/>
        <w:rPr>
          <w:rFonts w:ascii="Georgia" w:hAnsi="Georgia" w:cs="Georgia" w:eastAsia="Georgia"/>
          <w:color w:val="auto"/>
          <w:spacing w:val="0"/>
          <w:position w:val="0"/>
          <w:sz w:val="24"/>
          <w:shd w:fill="auto" w:val="clear"/>
        </w:rPr>
      </w:pPr>
      <w:r>
        <w:rPr>
          <w:rFonts w:ascii="Georgia" w:hAnsi="Georgia" w:cs="Georgia" w:eastAsia="Georgia"/>
          <w:color w:val="auto"/>
          <w:spacing w:val="0"/>
          <w:position w:val="0"/>
          <w:sz w:val="24"/>
          <w:shd w:fill="auto" w:val="clear"/>
        </w:rPr>
        <w:t xml:space="preserve">19.</w:t>
        <w:tab/>
        <w:t xml:space="preserve">Parioli;</w:t>
      </w:r>
    </w:p>
    <w:p>
      <w:pPr>
        <w:spacing w:before="0" w:after="200" w:line="276"/>
        <w:ind w:right="0" w:left="0" w:firstLine="720"/>
        <w:jc w:val="both"/>
        <w:rPr>
          <w:rFonts w:ascii="Georgia" w:hAnsi="Georgia" w:cs="Georgia" w:eastAsia="Georgia"/>
          <w:color w:val="auto"/>
          <w:spacing w:val="0"/>
          <w:position w:val="0"/>
          <w:sz w:val="24"/>
          <w:shd w:fill="auto" w:val="clear"/>
        </w:rPr>
      </w:pPr>
      <w:r>
        <w:rPr>
          <w:rFonts w:ascii="Georgia" w:hAnsi="Georgia" w:cs="Georgia" w:eastAsia="Georgia"/>
          <w:color w:val="auto"/>
          <w:spacing w:val="0"/>
          <w:position w:val="0"/>
          <w:sz w:val="24"/>
          <w:shd w:fill="auto" w:val="clear"/>
        </w:rPr>
        <w:t xml:space="preserve">20.</w:t>
        <w:tab/>
        <w:t xml:space="preserve">Salario Trieste;</w:t>
      </w:r>
    </w:p>
    <w:p>
      <w:pPr>
        <w:spacing w:before="0" w:after="200" w:line="276"/>
        <w:ind w:right="0" w:left="0" w:firstLine="720"/>
        <w:jc w:val="both"/>
        <w:rPr>
          <w:rFonts w:ascii="Georgia" w:hAnsi="Georgia" w:cs="Georgia" w:eastAsia="Georgia"/>
          <w:color w:val="auto"/>
          <w:spacing w:val="0"/>
          <w:position w:val="0"/>
          <w:sz w:val="24"/>
          <w:shd w:fill="auto" w:val="clear"/>
        </w:rPr>
      </w:pPr>
      <w:r>
        <w:rPr>
          <w:rFonts w:ascii="Georgia" w:hAnsi="Georgia" w:cs="Georgia" w:eastAsia="Georgia"/>
          <w:color w:val="auto"/>
          <w:spacing w:val="0"/>
          <w:position w:val="0"/>
          <w:sz w:val="24"/>
          <w:shd w:fill="auto" w:val="clear"/>
        </w:rPr>
        <w:t xml:space="preserve">24.</w:t>
        <w:tab/>
        <w:t xml:space="preserve">Esquilino;</w:t>
      </w:r>
    </w:p>
    <w:p>
      <w:pPr>
        <w:spacing w:before="0" w:after="200" w:line="276"/>
        <w:ind w:right="0" w:left="0" w:firstLine="720"/>
        <w:jc w:val="both"/>
        <w:rPr>
          <w:rFonts w:ascii="Georgia" w:hAnsi="Georgia" w:cs="Georgia" w:eastAsia="Georgia"/>
          <w:color w:val="auto"/>
          <w:spacing w:val="0"/>
          <w:position w:val="0"/>
          <w:sz w:val="24"/>
          <w:shd w:fill="auto" w:val="clear"/>
        </w:rPr>
      </w:pPr>
      <w:r>
        <w:rPr>
          <w:rFonts w:ascii="Georgia" w:hAnsi="Georgia" w:cs="Georgia" w:eastAsia="Georgia"/>
          <w:color w:val="auto"/>
          <w:spacing w:val="0"/>
          <w:position w:val="0"/>
          <w:sz w:val="24"/>
          <w:shd w:fill="auto" w:val="clear"/>
        </w:rPr>
        <w:t xml:space="preserve">171.</w:t>
        <w:tab/>
        <w:t xml:space="preserve">Ville dell’Appia.</w:t>
      </w:r>
    </w:p>
    <w:p>
      <w:pPr>
        <w:spacing w:before="0" w:after="200" w:line="276"/>
        <w:ind w:right="0" w:left="0" w:firstLine="0"/>
        <w:jc w:val="both"/>
        <w:rPr>
          <w:rFonts w:ascii="Georgia" w:hAnsi="Georgia" w:cs="Georgia" w:eastAsia="Georgia"/>
          <w:color w:val="auto"/>
          <w:spacing w:val="0"/>
          <w:position w:val="0"/>
          <w:sz w:val="24"/>
          <w:shd w:fill="auto" w:val="clear"/>
        </w:rPr>
      </w:pPr>
      <w:r>
        <w:rPr>
          <w:rFonts w:ascii="Georgia" w:hAnsi="Georgia" w:cs="Georgia" w:eastAsia="Georgia"/>
          <w:color w:val="auto"/>
          <w:spacing w:val="0"/>
          <w:position w:val="0"/>
          <w:sz w:val="24"/>
          <w:shd w:fill="auto" w:val="clear"/>
        </w:rPr>
        <w:t xml:space="preserve">Il primo passo, una volta aderito al ricorso, sarà la redazione di una perizia giurata a firma di un consulente tecnico qualificato e la stilatura di ricorso gerarchico con contestuale istanza di autotutela indirizzata alla Ente accertatore. Tali azioni prodromiche alla proposizione del ricorso saranno accessibili al costo di euro 400,00 comprensive di iva e cpa. </w:t>
      </w:r>
    </w:p>
    <w:p>
      <w:pPr>
        <w:spacing w:before="0" w:after="200" w:line="276"/>
        <w:ind w:right="0" w:left="0" w:firstLine="0"/>
        <w:jc w:val="both"/>
        <w:rPr>
          <w:rFonts w:ascii="Georgia" w:hAnsi="Georgia" w:cs="Georgia" w:eastAsia="Georgia"/>
          <w:color w:val="auto"/>
          <w:spacing w:val="0"/>
          <w:position w:val="0"/>
          <w:sz w:val="24"/>
          <w:shd w:fill="auto" w:val="clear"/>
        </w:rPr>
      </w:pPr>
      <w:r>
        <w:rPr>
          <w:rFonts w:ascii="Georgia" w:hAnsi="Georgia" w:cs="Georgia" w:eastAsia="Georgia"/>
          <w:color w:val="auto"/>
          <w:spacing w:val="0"/>
          <w:position w:val="0"/>
          <w:sz w:val="24"/>
          <w:shd w:fill="auto" w:val="clear"/>
        </w:rPr>
        <w:t xml:space="preserve">Successivamente, all’esito di tale prima procedura, verrà predisposto il ricorso alla Commissione Tributaria. Il ricorso sarà indirizzato alla Commissione Tributaria Provinciale, a cui verrà richiesto di annullare l’atto di accertamento previa sospensione dell’efficacia. Il costo per intraprendere tale ricorso sarà di euro 1400, comprensivi di iva e cpa, spese di notifica, contributo unificato e ulteriori spese vive. Inoltre l’Associazione Sempre Diritti valuterà di inoltrare ricorso al Tribunale Amministrativo Regionale per il Lazio per la verifica sulla legittimità amministrativa degli avvisi e dell’iter endoprocedimentale che ha portato alla emanazione dei medesimi, supportando tutte le azioni giurisdizionali. All’esito dell’intero procedimento di I grado e solo in caso di esito positivo del ricorso verrà richiesta una ulteriore somma pari ad euro 1.000 omnicomprensiva.</w:t>
      </w:r>
    </w:p>
    <w:p>
      <w:pPr>
        <w:spacing w:before="0" w:after="200" w:line="276"/>
        <w:ind w:right="0" w:left="0" w:firstLine="0"/>
        <w:jc w:val="both"/>
        <w:rPr>
          <w:rFonts w:ascii="Georgia" w:hAnsi="Georgia" w:cs="Georgia" w:eastAsia="Georgia"/>
          <w:color w:val="auto"/>
          <w:spacing w:val="0"/>
          <w:position w:val="0"/>
          <w:sz w:val="24"/>
          <w:shd w:fill="auto" w:val="clear"/>
        </w:rPr>
      </w:pPr>
      <w:r>
        <w:rPr>
          <w:rFonts w:ascii="Georgia" w:hAnsi="Georgia" w:cs="Georgia" w:eastAsia="Georgia"/>
          <w:color w:val="auto"/>
          <w:spacing w:val="0"/>
          <w:position w:val="0"/>
          <w:sz w:val="24"/>
          <w:shd w:fill="auto" w:val="clear"/>
        </w:rPr>
        <w:t xml:space="preserve">Per poter aderire al ricorso sarà sufficiente sottoscrivere la procura che conferisce il mandato all’Avv. Michele Bonetti, e rimettere la documentazione con inclusi i dati dell’immobile oggetto di accertamento via Raccomandata 1 entro 40 giorni dal ricevimento dell’avviso di accertamento al seguente indirizzo:</w:t>
      </w:r>
    </w:p>
    <w:p>
      <w:pPr>
        <w:spacing w:before="0" w:after="200" w:line="276"/>
        <w:ind w:right="0" w:left="0" w:firstLine="0"/>
        <w:jc w:val="center"/>
        <w:rPr>
          <w:rFonts w:ascii="Georgia" w:hAnsi="Georgia" w:cs="Georgia" w:eastAsia="Georgia"/>
          <w:b/>
          <w:color w:val="000000"/>
          <w:spacing w:val="0"/>
          <w:position w:val="0"/>
          <w:sz w:val="20"/>
          <w:shd w:fill="auto" w:val="clear"/>
        </w:rPr>
      </w:pPr>
      <w:r>
        <w:rPr>
          <w:rFonts w:ascii="Georgia" w:hAnsi="Georgia" w:cs="Georgia" w:eastAsia="Georgia"/>
          <w:b/>
          <w:color w:val="000000"/>
          <w:spacing w:val="0"/>
          <w:position w:val="0"/>
          <w:sz w:val="20"/>
          <w:shd w:fill="auto" w:val="clear"/>
        </w:rPr>
        <w:t xml:space="preserve">Avv. Michele Bonetti &amp; Partners</w:t>
      </w:r>
    </w:p>
    <w:p>
      <w:pPr>
        <w:spacing w:before="0" w:after="200" w:line="276"/>
        <w:ind w:right="0" w:left="0" w:firstLine="0"/>
        <w:jc w:val="center"/>
        <w:rPr>
          <w:rFonts w:ascii="Georgia" w:hAnsi="Georgia" w:cs="Georgia" w:eastAsia="Georgia"/>
          <w:color w:val="000000"/>
          <w:spacing w:val="0"/>
          <w:position w:val="0"/>
          <w:sz w:val="20"/>
          <w:shd w:fill="auto" w:val="clear"/>
        </w:rPr>
      </w:pPr>
      <w:r>
        <w:rPr>
          <w:rFonts w:ascii="Georgia" w:hAnsi="Georgia" w:cs="Georgia" w:eastAsia="Georgia"/>
          <w:color w:val="000000"/>
          <w:spacing w:val="0"/>
          <w:position w:val="0"/>
          <w:sz w:val="20"/>
          <w:shd w:fill="auto" w:val="clear"/>
        </w:rPr>
        <w:t xml:space="preserve">Via San Tommaso D’Aquino 47</w:t>
      </w:r>
    </w:p>
    <w:p>
      <w:pPr>
        <w:spacing w:before="0" w:after="200" w:line="276"/>
        <w:ind w:right="0" w:left="0" w:firstLine="0"/>
        <w:jc w:val="center"/>
        <w:rPr>
          <w:rFonts w:ascii="Georgia" w:hAnsi="Georgia" w:cs="Georgia" w:eastAsia="Georgia"/>
          <w:color w:val="000000"/>
          <w:spacing w:val="0"/>
          <w:position w:val="0"/>
          <w:sz w:val="20"/>
          <w:shd w:fill="auto" w:val="clear"/>
        </w:rPr>
      </w:pPr>
      <w:r>
        <w:rPr>
          <w:rFonts w:ascii="Georgia" w:hAnsi="Georgia" w:cs="Georgia" w:eastAsia="Georgia"/>
          <w:color w:val="000000"/>
          <w:spacing w:val="0"/>
          <w:position w:val="0"/>
          <w:sz w:val="20"/>
          <w:shd w:fill="auto" w:val="clear"/>
        </w:rPr>
        <w:t xml:space="preserve">00136 Roma</w:t>
      </w:r>
    </w:p>
    <w:p>
      <w:pPr>
        <w:spacing w:before="0" w:after="200" w:line="276"/>
        <w:ind w:right="0" w:left="0" w:firstLine="0"/>
        <w:jc w:val="both"/>
        <w:rPr>
          <w:rFonts w:ascii="Georgia" w:hAnsi="Georgia" w:cs="Georgia" w:eastAsia="Georgia"/>
          <w:color w:val="000000"/>
          <w:spacing w:val="0"/>
          <w:position w:val="0"/>
          <w:sz w:val="24"/>
          <w:shd w:fill="auto" w:val="clear"/>
        </w:rPr>
      </w:pPr>
      <w:r>
        <w:rPr>
          <w:rFonts w:ascii="Georgia" w:hAnsi="Georgia" w:cs="Georgia" w:eastAsia="Georgia"/>
          <w:color w:val="000000"/>
          <w:spacing w:val="0"/>
          <w:position w:val="0"/>
          <w:sz w:val="24"/>
          <w:shd w:fill="auto" w:val="clear"/>
        </w:rPr>
        <w:t xml:space="preserve">Di seguito sono elencati tutti i documenti da allegare al plico raccomandato:</w:t>
      </w:r>
    </w:p>
    <w:p>
      <w:pPr>
        <w:numPr>
          <w:ilvl w:val="0"/>
          <w:numId w:val="10"/>
        </w:numPr>
        <w:spacing w:before="0" w:after="200" w:line="276"/>
        <w:ind w:right="0" w:left="720" w:hanging="360"/>
        <w:jc w:val="both"/>
        <w:rPr>
          <w:rFonts w:ascii="Georgia" w:hAnsi="Georgia" w:cs="Georgia" w:eastAsia="Georgia"/>
          <w:color w:val="000000"/>
          <w:spacing w:val="0"/>
          <w:position w:val="0"/>
          <w:sz w:val="24"/>
          <w:shd w:fill="auto" w:val="clear"/>
        </w:rPr>
      </w:pPr>
      <w:r>
        <w:rPr>
          <w:rFonts w:ascii="Georgia" w:hAnsi="Georgia" w:cs="Georgia" w:eastAsia="Georgia"/>
          <w:color w:val="000000"/>
          <w:spacing w:val="0"/>
          <w:position w:val="0"/>
          <w:sz w:val="24"/>
          <w:shd w:fill="auto" w:val="clear"/>
        </w:rPr>
        <w:t xml:space="preserve">Procura sottoscritta in originale;</w:t>
      </w:r>
    </w:p>
    <w:p>
      <w:pPr>
        <w:numPr>
          <w:ilvl w:val="0"/>
          <w:numId w:val="10"/>
        </w:numPr>
        <w:spacing w:before="0" w:after="200" w:line="276"/>
        <w:ind w:right="0" w:left="720" w:hanging="360"/>
        <w:jc w:val="both"/>
        <w:rPr>
          <w:rFonts w:ascii="Georgia" w:hAnsi="Georgia" w:cs="Georgia" w:eastAsia="Georgia"/>
          <w:color w:val="000000"/>
          <w:spacing w:val="0"/>
          <w:position w:val="0"/>
          <w:sz w:val="24"/>
          <w:shd w:fill="auto" w:val="clear"/>
        </w:rPr>
      </w:pPr>
      <w:r>
        <w:rPr>
          <w:rFonts w:ascii="Georgia" w:hAnsi="Georgia" w:cs="Georgia" w:eastAsia="Georgia"/>
          <w:color w:val="000000"/>
          <w:spacing w:val="0"/>
          <w:position w:val="0"/>
          <w:sz w:val="24"/>
          <w:shd w:fill="auto" w:val="clear"/>
        </w:rPr>
        <w:t xml:space="preserve">Scheda relativa ai dati dell’immobile;</w:t>
      </w:r>
    </w:p>
    <w:p>
      <w:pPr>
        <w:numPr>
          <w:ilvl w:val="0"/>
          <w:numId w:val="10"/>
        </w:numPr>
        <w:spacing w:before="0" w:after="200" w:line="276"/>
        <w:ind w:right="0" w:left="720" w:hanging="360"/>
        <w:jc w:val="both"/>
        <w:rPr>
          <w:rFonts w:ascii="Georgia" w:hAnsi="Georgia" w:cs="Georgia" w:eastAsia="Georgia"/>
          <w:color w:val="000000"/>
          <w:spacing w:val="0"/>
          <w:position w:val="0"/>
          <w:sz w:val="24"/>
          <w:shd w:fill="auto" w:val="clear"/>
        </w:rPr>
      </w:pPr>
      <w:r>
        <w:rPr>
          <w:rFonts w:ascii="Georgia" w:hAnsi="Georgia" w:cs="Georgia" w:eastAsia="Georgia"/>
          <w:color w:val="000000"/>
          <w:spacing w:val="0"/>
          <w:position w:val="0"/>
          <w:sz w:val="24"/>
          <w:shd w:fill="auto" w:val="clear"/>
        </w:rPr>
        <w:t xml:space="preserve">Avviso di accertamento notificato dall’Agenzia delle Entrate, compresa la busta che lo conteneva;</w:t>
      </w:r>
    </w:p>
    <w:p>
      <w:pPr>
        <w:numPr>
          <w:ilvl w:val="0"/>
          <w:numId w:val="10"/>
        </w:numPr>
        <w:spacing w:before="0" w:after="200" w:line="276"/>
        <w:ind w:right="0" w:left="720" w:hanging="360"/>
        <w:jc w:val="both"/>
        <w:rPr>
          <w:rFonts w:ascii="Georgia" w:hAnsi="Georgia" w:cs="Georgia" w:eastAsia="Georgia"/>
          <w:color w:val="000000"/>
          <w:spacing w:val="0"/>
          <w:position w:val="0"/>
          <w:sz w:val="24"/>
          <w:shd w:fill="auto" w:val="clear"/>
        </w:rPr>
      </w:pPr>
      <w:r>
        <w:rPr>
          <w:rFonts w:ascii="Georgia" w:hAnsi="Georgia" w:cs="Georgia" w:eastAsia="Georgia"/>
          <w:color w:val="000000"/>
          <w:spacing w:val="0"/>
          <w:position w:val="0"/>
          <w:sz w:val="24"/>
          <w:shd w:fill="auto" w:val="clear"/>
        </w:rPr>
        <w:t xml:space="preserve">Ricevuta dell’avvenuto bonifico di euro 400,00.</w:t>
      </w:r>
    </w:p>
    <w:p>
      <w:pPr>
        <w:spacing w:before="0" w:after="200" w:line="276"/>
        <w:ind w:right="0" w:left="0" w:firstLine="0"/>
        <w:jc w:val="both"/>
        <w:rPr>
          <w:rFonts w:ascii="Georgia" w:hAnsi="Georgia" w:cs="Georgia" w:eastAsia="Georgia"/>
          <w:color w:val="000000"/>
          <w:spacing w:val="0"/>
          <w:position w:val="0"/>
          <w:sz w:val="24"/>
          <w:shd w:fill="auto" w:val="clear"/>
        </w:rPr>
      </w:pPr>
      <w:r>
        <w:rPr>
          <w:rFonts w:ascii="Georgia" w:hAnsi="Georgia" w:cs="Georgia" w:eastAsia="Georgia"/>
          <w:color w:val="000000"/>
          <w:spacing w:val="0"/>
          <w:position w:val="0"/>
          <w:sz w:val="24"/>
          <w:shd w:fill="auto" w:val="clear"/>
        </w:rPr>
        <w:t xml:space="preserve">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body>
</w:document>
</file>

<file path=word/numbering.xml><?xml version="1.0" encoding="utf-8"?>
<w:numbering xmlns:w="http://schemas.openxmlformats.org/wordprocessingml/2006/main">
  <w:abstractNum w:abstractNumId="0">
    <w:lvl w:ilvl="0">
      <w:start w:val="1"/>
      <w:numFmt w:val="bullet"/>
      <w:lvlText w:val="•"/>
    </w:lvl>
  </w:abstractNum>
  <w:num w:numId="10">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edia/image0.wmf" Id="docRId1" Type="http://schemas.openxmlformats.org/officeDocument/2006/relationships/image"/><Relationship Target="media/image1.wmf" Id="docRId3" Type="http://schemas.openxmlformats.org/officeDocument/2006/relationships/image"/><Relationship Target="styles.xml" Id="docRId5" Type="http://schemas.openxmlformats.org/officeDocument/2006/relationships/styles"/><Relationship Target="embeddings/oleObject0.bin" Id="docRId0" Type="http://schemas.openxmlformats.org/officeDocument/2006/relationships/oleObject"/><Relationship Target="embeddings/oleObject1.bin" Id="docRId2" Type="http://schemas.openxmlformats.org/officeDocument/2006/relationships/oleObject"/><Relationship Target="numbering.xml" Id="docRId4" Type="http://schemas.openxmlformats.org/officeDocument/2006/relationships/numbering"/></Relationships>
</file>